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A1" w:rsidRDefault="008E1720" w:rsidP="008E1720">
      <w:pPr>
        <w:jc w:val="both"/>
        <w:rPr>
          <w:b/>
          <w:i/>
          <w:sz w:val="32"/>
          <w:szCs w:val="32"/>
          <w:u w:val="single"/>
        </w:rPr>
      </w:pPr>
      <w:r>
        <w:t xml:space="preserve">                             </w:t>
      </w:r>
      <w:bookmarkStart w:id="0" w:name="_GoBack"/>
      <w:bookmarkEnd w:id="0"/>
      <w:r>
        <w:t xml:space="preserve">          </w:t>
      </w:r>
      <w:r>
        <w:rPr>
          <w:b/>
          <w:i/>
          <w:sz w:val="32"/>
          <w:szCs w:val="32"/>
          <w:u w:val="single"/>
        </w:rPr>
        <w:t>HOSPODÁŘSTVÍ  ČR</w:t>
      </w:r>
    </w:p>
    <w:p w:rsidR="008E1720" w:rsidRDefault="008E1720" w:rsidP="008E172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Průmyslový  rozvoj</w:t>
      </w:r>
      <w:proofErr w:type="gramEnd"/>
      <w:r>
        <w:rPr>
          <w:b/>
          <w:sz w:val="24"/>
          <w:szCs w:val="24"/>
        </w:rPr>
        <w:t xml:space="preserve"> českých zemí umožňovala výhodná poloha a zdroje nerostných surovin. V prvních desetiletích 19. století docházelo k využití parního stroje pro pohon strojů v textilních továrnách. Páru vystřídala elektrická energie, která umožňovala rozvoj elektrotechnického průmyslu, výroby cementu, léčiv a umělých hnojiv.</w:t>
      </w:r>
    </w:p>
    <w:p w:rsidR="008E1720" w:rsidRDefault="008E1720" w:rsidP="008E17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vzniku samostatné Československé republiky pokračoval rozvoj moderní průmyslové výroby, který byl utlumen v době celosvětové hospodářské krize ve 30. letech 20. století. Během 2. světové války se rozvíjela zbrojní výroba. Po válce pokračoval rozvoj těžby energetických surovin, hutnictví a strojírenství. V době totalitního (socialistického) režimu bylo naše hospodářství zaměřeno na těžký průmysl.</w:t>
      </w:r>
    </w:p>
    <w:p w:rsidR="008E1720" w:rsidRDefault="008E1720" w:rsidP="008E17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roce 1989 se česká ekonomika vrátila k principům tržního hospodářství. S tím souvisejí procesy privatizace (převedení vlastnictví ze státního do soukromého) a restituce (navrácení soukromého majetku dříve zabaveného vládou).  Naše hospodářství v posledních letech ovlivňuje proces globalizace (vzájemná provázanost světového a domácího trhu). V ČR klesl podíl zemědělství a průmyslu a na druhou stranu </w:t>
      </w:r>
      <w:proofErr w:type="gramStart"/>
      <w:r>
        <w:rPr>
          <w:b/>
          <w:sz w:val="24"/>
          <w:szCs w:val="24"/>
        </w:rPr>
        <w:t>rostlo</w:t>
      </w:r>
      <w:proofErr w:type="gramEnd"/>
      <w:r>
        <w:rPr>
          <w:b/>
          <w:sz w:val="24"/>
          <w:szCs w:val="24"/>
        </w:rPr>
        <w:t xml:space="preserve"> podíl služeb.</w:t>
      </w:r>
    </w:p>
    <w:p w:rsidR="008E1720" w:rsidRPr="008E1720" w:rsidRDefault="008E1720" w:rsidP="008E17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Vstupem do EU se ČR zařadila mezi státy hospodářsky vyspělého světa. Na evropském i světovém trh se uplatňuje především automobilovým průmyslem, potravinářskými výrobky a výsledky vědy a výzkumu. </w:t>
      </w:r>
    </w:p>
    <w:sectPr w:rsidR="008E1720" w:rsidRPr="008E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0"/>
    <w:rsid w:val="008548A1"/>
    <w:rsid w:val="008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2021-03-23T09:25:00Z</dcterms:created>
  <dcterms:modified xsi:type="dcterms:W3CDTF">2021-03-23T09:47:00Z</dcterms:modified>
</cp:coreProperties>
</file>